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26" w:rsidRDefault="00E9476B" w:rsidP="00207326">
      <w:pPr>
        <w:spacing w:after="0"/>
      </w:pPr>
      <w:r>
        <w:rPr>
          <w:noProof/>
        </w:rPr>
        <w:pict>
          <v:roundrect id="_x0000_s1027" style="position:absolute;margin-left:-37.6pt;margin-top:-7.45pt;width:526.5pt;height:75pt;z-index:251659264" arcsize="10923f" fillcolor="#08588b" stroked="f" strokeweight="0">
            <v:fill color2="#365e8f" focusposition=".5,.5" focussize="" focus="100%" type="gradientRadial"/>
            <v:shadow on="t" type="perspective" color="#243f60" offset="1pt" offset2="-3pt"/>
            <v:textbox>
              <w:txbxContent>
                <w:p w:rsidR="00207326" w:rsidRDefault="009179C1" w:rsidP="00207326">
                  <w:pPr>
                    <w:jc w:val="center"/>
                    <w:rPr>
                      <w:rFonts w:ascii="Century Gothic" w:hAnsi="Century Gothic"/>
                      <w:b/>
                      <w:color w:val="FFFFFF"/>
                      <w:sz w:val="40"/>
                      <w:szCs w:val="40"/>
                    </w:rPr>
                  </w:pPr>
                  <w:r>
                    <w:rPr>
                      <w:rFonts w:ascii="Century Gothic" w:hAnsi="Century Gothic"/>
                      <w:b/>
                      <w:i/>
                      <w:color w:val="FFFFFF"/>
                      <w:sz w:val="40"/>
                      <w:szCs w:val="40"/>
                    </w:rPr>
                    <w:t>SAMPLE</w:t>
                  </w:r>
                </w:p>
                <w:p w:rsidR="009179C1" w:rsidRPr="009179C1" w:rsidRDefault="00AF5694" w:rsidP="00207326">
                  <w:pPr>
                    <w:jc w:val="center"/>
                    <w:rPr>
                      <w:rFonts w:ascii="Century Gothic" w:hAnsi="Century Gothic"/>
                      <w:b/>
                      <w:color w:val="FFFFFF"/>
                      <w:sz w:val="28"/>
                      <w:szCs w:val="28"/>
                    </w:rPr>
                  </w:pPr>
                  <w:r>
                    <w:rPr>
                      <w:rFonts w:ascii="Century Gothic" w:hAnsi="Century Gothic"/>
                      <w:b/>
                      <w:color w:val="FFFFFF"/>
                      <w:sz w:val="28"/>
                      <w:szCs w:val="28"/>
                    </w:rPr>
                    <w:t>(</w:t>
                  </w:r>
                  <w:r w:rsidR="009179C1">
                    <w:rPr>
                      <w:rFonts w:ascii="Century Gothic" w:hAnsi="Century Gothic"/>
                      <w:b/>
                      <w:color w:val="FFFFFF"/>
                      <w:sz w:val="28"/>
                      <w:szCs w:val="28"/>
                    </w:rPr>
                    <w:t>Applying Maximum Limits for Maximum Income Tax Deductions</w:t>
                  </w:r>
                  <w:r>
                    <w:rPr>
                      <w:rFonts w:ascii="Century Gothic" w:hAnsi="Century Gothic"/>
                      <w:b/>
                      <w:color w:val="FFFFFF"/>
                      <w:sz w:val="28"/>
                      <w:szCs w:val="28"/>
                    </w:rPr>
                    <w:t>)</w:t>
                  </w:r>
                </w:p>
              </w:txbxContent>
            </v:textbox>
          </v:roundrect>
        </w:pict>
      </w:r>
      <w:r>
        <w:rPr>
          <w:noProof/>
        </w:rPr>
        <w:pict>
          <v:shapetype id="_x0000_t202" coordsize="21600,21600" o:spt="202" path="m,l,21600r21600,l21600,xe">
            <v:stroke joinstyle="miter"/>
            <v:path gradientshapeok="t" o:connecttype="rect"/>
          </v:shapetype>
          <v:shape id="_x0000_s1026" type="#_x0000_t202" style="position:absolute;margin-left:-89.9pt;margin-top:-36pt;width:1in;height:11in;z-index:251658240" fillcolor="#615d5c" stroked="f">
            <v:fill opacity="9830f" color2="fill darken(118)" o:opacity2=".5" rotate="t" method="linear sigma" focus="100%" type="gradient"/>
            <v:textbox style="mso-next-textbox:#_x0000_s1026">
              <w:txbxContent>
                <w:p w:rsidR="00207326" w:rsidRDefault="00207326" w:rsidP="00207326"/>
              </w:txbxContent>
            </v:textbox>
          </v:shape>
        </w:pict>
      </w:r>
    </w:p>
    <w:p w:rsidR="00207326" w:rsidRDefault="00207326" w:rsidP="00207326">
      <w:pPr>
        <w:spacing w:after="0"/>
      </w:pPr>
    </w:p>
    <w:p w:rsidR="00207326" w:rsidRDefault="00207326" w:rsidP="00207326">
      <w:pPr>
        <w:spacing w:after="0"/>
      </w:pPr>
    </w:p>
    <w:p w:rsidR="00207326" w:rsidRDefault="00207326" w:rsidP="00207326">
      <w:pPr>
        <w:spacing w:after="0"/>
      </w:pPr>
    </w:p>
    <w:p w:rsidR="00207326" w:rsidRDefault="00207326" w:rsidP="00207326">
      <w:pPr>
        <w:spacing w:after="0"/>
      </w:pPr>
    </w:p>
    <w:p w:rsidR="009179C1" w:rsidRDefault="009179C1" w:rsidP="009179C1">
      <w:pPr>
        <w:spacing w:line="240" w:lineRule="auto"/>
        <w:ind w:left="720" w:hanging="720"/>
        <w:jc w:val="center"/>
        <w:rPr>
          <w:rFonts w:ascii="Cambria" w:eastAsia="Times New Roman" w:hAnsi="Cambria"/>
          <w:b/>
          <w:bCs/>
          <w:color w:val="000000"/>
          <w:sz w:val="29"/>
          <w:szCs w:val="29"/>
        </w:rPr>
      </w:pPr>
      <w:r w:rsidRPr="009179C1">
        <w:rPr>
          <w:rFonts w:ascii="Cambria" w:eastAsia="Times New Roman" w:hAnsi="Cambria"/>
          <w:b/>
          <w:bCs/>
          <w:color w:val="000000"/>
          <w:sz w:val="29"/>
          <w:szCs w:val="29"/>
          <w:highlight w:val="yellow"/>
        </w:rPr>
        <w:t>[Name of Organization]</w:t>
      </w:r>
    </w:p>
    <w:p w:rsidR="009179C1" w:rsidRDefault="009179C1" w:rsidP="009179C1">
      <w:pPr>
        <w:spacing w:line="240" w:lineRule="auto"/>
        <w:ind w:left="720" w:hanging="720"/>
        <w:jc w:val="center"/>
        <w:rPr>
          <w:rFonts w:ascii="Cambria" w:eastAsia="Times New Roman" w:hAnsi="Cambria"/>
          <w:b/>
          <w:bCs/>
          <w:color w:val="000000"/>
          <w:sz w:val="29"/>
          <w:szCs w:val="29"/>
        </w:rPr>
      </w:pPr>
      <w:r w:rsidRPr="00A37842">
        <w:rPr>
          <w:rFonts w:ascii="Cambria" w:eastAsia="Times New Roman" w:hAnsi="Cambria"/>
          <w:b/>
          <w:bCs/>
          <w:color w:val="000000"/>
          <w:sz w:val="29"/>
          <w:szCs w:val="29"/>
        </w:rPr>
        <w:t>CAPITALIZATION POLICY</w:t>
      </w:r>
    </w:p>
    <w:p w:rsidR="009179C1" w:rsidRPr="000435BE" w:rsidRDefault="009179C1" w:rsidP="009179C1">
      <w:pPr>
        <w:spacing w:after="0" w:line="240" w:lineRule="auto"/>
        <w:jc w:val="both"/>
        <w:rPr>
          <w:rFonts w:ascii="Cambria" w:eastAsia="Times New Roman" w:hAnsi="Cambria"/>
        </w:rPr>
      </w:pPr>
    </w:p>
    <w:p w:rsidR="009179C1" w:rsidRPr="000435BE" w:rsidRDefault="009179C1" w:rsidP="009179C1">
      <w:pPr>
        <w:numPr>
          <w:ilvl w:val="0"/>
          <w:numId w:val="2"/>
        </w:numPr>
        <w:spacing w:after="0" w:line="240" w:lineRule="auto"/>
        <w:jc w:val="both"/>
        <w:rPr>
          <w:rFonts w:ascii="Cambria" w:hAnsi="Cambria"/>
          <w:b/>
          <w:u w:val="single"/>
        </w:rPr>
      </w:pPr>
      <w:r w:rsidRPr="000435BE">
        <w:rPr>
          <w:rFonts w:ascii="Cambria" w:hAnsi="Cambria"/>
          <w:b/>
          <w:u w:val="single"/>
        </w:rPr>
        <w:t>Purpose</w:t>
      </w:r>
    </w:p>
    <w:p w:rsidR="009179C1" w:rsidRPr="000435BE" w:rsidRDefault="009179C1" w:rsidP="00D2732F">
      <w:pPr>
        <w:spacing w:after="160"/>
        <w:ind w:left="720"/>
        <w:jc w:val="both"/>
        <w:rPr>
          <w:rFonts w:ascii="Cambria" w:hAnsi="Cambria"/>
        </w:rPr>
      </w:pPr>
      <w:r w:rsidRPr="000435BE">
        <w:rPr>
          <w:rFonts w:ascii="Cambria" w:hAnsi="Cambria"/>
        </w:rPr>
        <w:t>This accounting policy establishes the minimum cost (capitalization amount) that shall be used to determine the capital assets to be recorded in the Organization’s books and financial statements.</w:t>
      </w:r>
    </w:p>
    <w:p w:rsidR="009179C1" w:rsidRPr="000435BE" w:rsidRDefault="009179C1" w:rsidP="009179C1">
      <w:pPr>
        <w:pStyle w:val="Heading1"/>
        <w:numPr>
          <w:ilvl w:val="0"/>
          <w:numId w:val="2"/>
        </w:numPr>
        <w:jc w:val="both"/>
        <w:rPr>
          <w:rFonts w:ascii="Cambria" w:hAnsi="Cambria"/>
          <w:b/>
          <w:sz w:val="22"/>
          <w:szCs w:val="22"/>
        </w:rPr>
      </w:pPr>
      <w:r w:rsidRPr="000435BE">
        <w:rPr>
          <w:rFonts w:ascii="Cambria" w:hAnsi="Cambria"/>
          <w:b/>
          <w:sz w:val="22"/>
          <w:szCs w:val="22"/>
        </w:rPr>
        <w:t>Capital Asset Definition and Thresholds</w:t>
      </w:r>
    </w:p>
    <w:p w:rsidR="009179C1" w:rsidRPr="000435BE" w:rsidRDefault="009179C1" w:rsidP="00D2732F">
      <w:pPr>
        <w:spacing w:after="160"/>
        <w:ind w:left="720"/>
        <w:jc w:val="both"/>
        <w:rPr>
          <w:rFonts w:ascii="Cambria" w:hAnsi="Cambria"/>
        </w:rPr>
      </w:pPr>
      <w:r w:rsidRPr="000435BE">
        <w:rPr>
          <w:rFonts w:ascii="Cambria" w:hAnsi="Cambria"/>
        </w:rPr>
        <w:t xml:space="preserve">A “Capital Asset” is a unit of property with a useful life exceeding one year and a per unit acquisition cost exceeding </w:t>
      </w:r>
      <w:r>
        <w:rPr>
          <w:rFonts w:ascii="Cambria" w:hAnsi="Cambria"/>
          <w:b/>
        </w:rPr>
        <w:t xml:space="preserve">$5,000 in years for </w:t>
      </w:r>
      <w:r w:rsidR="00AF5694">
        <w:rPr>
          <w:rFonts w:ascii="Cambria" w:hAnsi="Cambria"/>
          <w:b/>
        </w:rPr>
        <w:t>which the O</w:t>
      </w:r>
      <w:r>
        <w:rPr>
          <w:rFonts w:ascii="Cambria" w:hAnsi="Cambria"/>
          <w:b/>
        </w:rPr>
        <w:t>rganization has an audited financial statement and $500 in other years.</w:t>
      </w:r>
      <w:r>
        <w:rPr>
          <w:rStyle w:val="EndnoteReference"/>
          <w:rFonts w:ascii="Cambria" w:hAnsi="Cambria"/>
          <w:b/>
        </w:rPr>
        <w:endnoteReference w:id="1"/>
      </w:r>
      <w:r>
        <w:rPr>
          <w:rFonts w:ascii="Cambria" w:hAnsi="Cambria"/>
        </w:rPr>
        <w:t xml:space="preserve">  </w:t>
      </w:r>
      <w:r w:rsidRPr="000435BE">
        <w:rPr>
          <w:rFonts w:ascii="Cambria" w:hAnsi="Cambria"/>
        </w:rPr>
        <w:t>Capital assets will be capitalized and depreciated over their useful lives.  The Organization will expense the full acquisition cost of tangible personal property below this threshold in the year purchased.</w:t>
      </w:r>
    </w:p>
    <w:p w:rsidR="009179C1" w:rsidRPr="000435BE" w:rsidRDefault="009179C1" w:rsidP="009179C1">
      <w:pPr>
        <w:numPr>
          <w:ilvl w:val="0"/>
          <w:numId w:val="2"/>
        </w:numPr>
        <w:spacing w:after="0" w:line="240" w:lineRule="auto"/>
        <w:jc w:val="both"/>
        <w:rPr>
          <w:rFonts w:ascii="Cambria" w:hAnsi="Cambria"/>
          <w:b/>
        </w:rPr>
      </w:pPr>
      <w:r w:rsidRPr="000435BE">
        <w:rPr>
          <w:rFonts w:ascii="Cambria" w:hAnsi="Cambria"/>
          <w:b/>
          <w:u w:val="single"/>
        </w:rPr>
        <w:t>Capitalization Method and Procedure</w:t>
      </w:r>
    </w:p>
    <w:p w:rsidR="009179C1" w:rsidRPr="000435BE" w:rsidRDefault="009179C1" w:rsidP="00D2732F">
      <w:pPr>
        <w:spacing w:after="160"/>
        <w:ind w:firstLine="720"/>
        <w:jc w:val="both"/>
        <w:rPr>
          <w:rFonts w:ascii="Cambria" w:hAnsi="Cambria"/>
        </w:rPr>
      </w:pPr>
      <w:r w:rsidRPr="000435BE">
        <w:rPr>
          <w:rFonts w:ascii="Cambria" w:hAnsi="Cambria"/>
        </w:rPr>
        <w:t>All Capital Assets are recorded at historical cost as of the date acquired.</w:t>
      </w:r>
    </w:p>
    <w:p w:rsidR="009179C1" w:rsidRPr="000435BE" w:rsidRDefault="009179C1" w:rsidP="00D2732F">
      <w:pPr>
        <w:spacing w:after="160"/>
        <w:ind w:left="720"/>
        <w:jc w:val="both"/>
        <w:rPr>
          <w:rFonts w:ascii="Cambria" w:hAnsi="Cambria"/>
        </w:rPr>
      </w:pPr>
      <w:r w:rsidRPr="000435BE">
        <w:rPr>
          <w:rFonts w:ascii="Cambria" w:hAnsi="Cambria"/>
        </w:rPr>
        <w:t xml:space="preserve">Tangible assets costing </w:t>
      </w:r>
      <w:r>
        <w:rPr>
          <w:rFonts w:ascii="Cambria" w:hAnsi="Cambria"/>
        </w:rPr>
        <w:t>less than</w:t>
      </w:r>
      <w:r w:rsidRPr="000435BE">
        <w:rPr>
          <w:rFonts w:ascii="Cambria" w:hAnsi="Cambria"/>
        </w:rPr>
        <w:t xml:space="preserve"> the aforementioned threshold amount are recorded as an expense in the Organization’s annual financial statements.  In addition, assets with an economic useful life of 12 months or less must be expensed for financial reporting purposes.</w:t>
      </w:r>
    </w:p>
    <w:p w:rsidR="009179C1" w:rsidRPr="000435BE" w:rsidRDefault="009179C1" w:rsidP="009179C1">
      <w:pPr>
        <w:numPr>
          <w:ilvl w:val="0"/>
          <w:numId w:val="2"/>
        </w:numPr>
        <w:spacing w:after="0" w:line="240" w:lineRule="auto"/>
        <w:jc w:val="both"/>
        <w:rPr>
          <w:rFonts w:ascii="Cambria" w:hAnsi="Cambria"/>
          <w:b/>
          <w:u w:val="single"/>
        </w:rPr>
      </w:pPr>
      <w:r w:rsidRPr="000435BE">
        <w:rPr>
          <w:rFonts w:ascii="Cambria" w:hAnsi="Cambria"/>
          <w:b/>
          <w:u w:val="single"/>
        </w:rPr>
        <w:t>Documentation</w:t>
      </w:r>
    </w:p>
    <w:p w:rsidR="009179C1" w:rsidRDefault="009179C1" w:rsidP="00D2732F">
      <w:pPr>
        <w:spacing w:after="160"/>
        <w:ind w:left="720"/>
        <w:jc w:val="both"/>
        <w:rPr>
          <w:rFonts w:ascii="Cambria" w:hAnsi="Cambria"/>
        </w:rPr>
      </w:pPr>
      <w:r w:rsidRPr="000435BE">
        <w:rPr>
          <w:rFonts w:ascii="Cambria" w:hAnsi="Cambria"/>
        </w:rPr>
        <w:t>Invoices substantiating the acquisition cost of each unit of property are to be retained for a minimum of 7 years.</w:t>
      </w:r>
    </w:p>
    <w:p w:rsidR="009179C1" w:rsidRDefault="009179C1" w:rsidP="00D2732F">
      <w:pPr>
        <w:spacing w:after="160"/>
        <w:jc w:val="both"/>
        <w:rPr>
          <w:rFonts w:ascii="Cambria" w:hAnsi="Cambria"/>
        </w:rPr>
      </w:pPr>
      <w:r>
        <w:rPr>
          <w:rFonts w:ascii="Cambria" w:hAnsi="Cambria"/>
        </w:rPr>
        <w:t xml:space="preserve">Policy adopted on </w:t>
      </w:r>
      <w:r w:rsidRPr="009179C1">
        <w:rPr>
          <w:rFonts w:ascii="Cambria" w:hAnsi="Cambria"/>
          <w:b/>
          <w:highlight w:val="yellow"/>
        </w:rPr>
        <w:t>[DATE]</w:t>
      </w:r>
    </w:p>
    <w:p w:rsidR="009179C1" w:rsidRPr="00B408C6" w:rsidRDefault="009179C1" w:rsidP="00AF5694">
      <w:pPr>
        <w:spacing w:after="120"/>
        <w:jc w:val="both"/>
        <w:rPr>
          <w:rFonts w:ascii="Cambria" w:hAnsi="Cambria"/>
          <w:b/>
        </w:rPr>
      </w:pPr>
      <w:r>
        <w:rPr>
          <w:rFonts w:ascii="Cambria" w:hAnsi="Cambria"/>
        </w:rPr>
        <w:t xml:space="preserve">Approved by </w:t>
      </w:r>
      <w:r w:rsidRPr="009179C1">
        <w:rPr>
          <w:rFonts w:ascii="Cambria" w:hAnsi="Cambria"/>
          <w:b/>
          <w:highlight w:val="yellow"/>
        </w:rPr>
        <w:t>[NAME AND TITLE OF MANAGEMENT OFFICIAL APPROVING THE POLICY CHANGE]</w:t>
      </w:r>
    </w:p>
    <w:p w:rsidR="009179C1" w:rsidRDefault="009179C1" w:rsidP="009179C1">
      <w:pPr>
        <w:rPr>
          <w:rFonts w:ascii="Cambria" w:hAnsi="Cambria"/>
        </w:rPr>
        <w:sectPr w:rsidR="009179C1" w:rsidSect="00207326">
          <w:pgSz w:w="12240" w:h="15840"/>
          <w:pgMar w:top="720" w:right="720" w:bottom="360" w:left="1800" w:header="720" w:footer="720" w:gutter="0"/>
          <w:cols w:space="720"/>
          <w:docGrid w:linePitch="360"/>
        </w:sectPr>
      </w:pPr>
    </w:p>
    <w:p w:rsidR="00207326" w:rsidRPr="006979ED" w:rsidRDefault="00207326" w:rsidP="00D2732F">
      <w:pPr>
        <w:spacing w:after="160"/>
        <w:jc w:val="both"/>
        <w:rPr>
          <w:rFonts w:ascii="Myriad Web Pro" w:hAnsi="Myriad Web Pro"/>
          <w:i/>
          <w:sz w:val="18"/>
          <w:szCs w:val="18"/>
        </w:rPr>
      </w:pPr>
      <w:r w:rsidRPr="008A1747">
        <w:rPr>
          <w:rFonts w:ascii="Myriad Web Pro" w:hAnsi="Myriad Web Pro"/>
          <w:i/>
          <w:sz w:val="18"/>
          <w:szCs w:val="18"/>
        </w:rPr>
        <w:lastRenderedPageBreak/>
        <w:t>This sample document is provided for general information purposes.  It does not constitute professional advice.  It is a generic document that is not specifically designed for your organization.  We have provided it as a matter of professional courtesy for you to consider, together with your legal counsel, along with other sample documents and other sources of information as you determine are appropriate for your organization.  In establishing your organization’s policies or provisions of your governing documents, you should consider, together with your legal counsel, your unique operational, financial and legal circumstances.</w:t>
      </w:r>
    </w:p>
    <w:p w:rsidR="00207326" w:rsidRPr="008A1747" w:rsidRDefault="00207326" w:rsidP="00207326">
      <w:pPr>
        <w:spacing w:after="0"/>
        <w:jc w:val="both"/>
        <w:rPr>
          <w:rFonts w:ascii="Myriad Web Pro" w:hAnsi="Myriad Web Pro"/>
          <w:sz w:val="18"/>
          <w:szCs w:val="18"/>
        </w:rPr>
      </w:pPr>
      <w:r w:rsidRPr="008A1747">
        <w:rPr>
          <w:rStyle w:val="Strong"/>
          <w:rFonts w:ascii="Myriad Web Pro" w:hAnsi="Myriad Web Pro"/>
          <w:sz w:val="18"/>
          <w:szCs w:val="18"/>
        </w:rPr>
        <w:t>Notice Under U.S. Treasury Department Circular 230</w:t>
      </w:r>
      <w:r w:rsidRPr="008A1747">
        <w:rPr>
          <w:rFonts w:ascii="Myriad Web Pro" w:hAnsi="Myriad Web Pro"/>
          <w:b/>
          <w:sz w:val="18"/>
          <w:szCs w:val="18"/>
        </w:rPr>
        <w:t>:</w:t>
      </w:r>
      <w:r w:rsidRPr="008A1747">
        <w:rPr>
          <w:rFonts w:ascii="Myriad Web Pro" w:hAnsi="Myriad Web Pro"/>
          <w:sz w:val="18"/>
          <w:szCs w:val="18"/>
        </w:rPr>
        <w:t xml:space="preserve">  Pursuant to rules related to practice before the Internal Revenue Service, please be advised that anything in this communication (including any attachments) that might constitute written tax advice is not intended or written by the sender to be used, and cannot be used, by any recipient for the purposes of (1) avoiding penalties that may be imposed on the taxpayer under the Internal Revenue Code or (2) promoting, marketing or recommending to another party any tax-related matter addressed herein.</w:t>
      </w:r>
    </w:p>
    <w:p w:rsidR="00207326" w:rsidRDefault="009179C1" w:rsidP="00207326">
      <w:pPr>
        <w:pStyle w:val="Footer"/>
        <w:rPr>
          <w:rFonts w:ascii="Trajan Pro" w:hAnsi="Trajan Pro"/>
          <w:b/>
          <w:color w:val="404040"/>
          <w:spacing w:val="10"/>
          <w:sz w:val="16"/>
          <w:szCs w:val="16"/>
        </w:rPr>
      </w:pPr>
      <w:r>
        <w:rPr>
          <w:rFonts w:ascii="Trajan Pro" w:hAnsi="Trajan Pro"/>
          <w:b/>
          <w:noProof/>
          <w:color w:val="404040"/>
          <w:spacing w:val="10"/>
          <w:sz w:val="16"/>
          <w:szCs w:val="16"/>
        </w:rPr>
        <w:drawing>
          <wp:anchor distT="0" distB="0" distL="114300" distR="114300" simplePos="0" relativeHeight="251661312" behindDoc="1" locked="0" layoutInCell="1" allowOverlap="1">
            <wp:simplePos x="0" y="0"/>
            <wp:positionH relativeFrom="column">
              <wp:posOffset>3895090</wp:posOffset>
            </wp:positionH>
            <wp:positionV relativeFrom="paragraph">
              <wp:posOffset>52705</wp:posOffset>
            </wp:positionV>
            <wp:extent cx="2276475" cy="665480"/>
            <wp:effectExtent l="19050" t="0" r="9525" b="0"/>
            <wp:wrapTight wrapText="bothSides">
              <wp:wrapPolygon edited="0">
                <wp:start x="-181" y="0"/>
                <wp:lineTo x="-181" y="21023"/>
                <wp:lineTo x="21690" y="21023"/>
                <wp:lineTo x="21690" y="0"/>
                <wp:lineTo x="-181" y="0"/>
              </wp:wrapPolygon>
            </wp:wrapTight>
            <wp:docPr id="14" name="Picture 5" descr="BMWL_logo_CMYK Cropped - JM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L_logo_CMYK Cropped - JM experiment"/>
                    <pic:cNvPicPr>
                      <a:picLocks noChangeAspect="1" noChangeArrowheads="1"/>
                    </pic:cNvPicPr>
                  </pic:nvPicPr>
                  <pic:blipFill>
                    <a:blip r:embed="rId8" cstate="print"/>
                    <a:srcRect/>
                    <a:stretch>
                      <a:fillRect/>
                    </a:stretch>
                  </pic:blipFill>
                  <pic:spPr bwMode="auto">
                    <a:xfrm>
                      <a:off x="0" y="0"/>
                      <a:ext cx="2276475" cy="665480"/>
                    </a:xfrm>
                    <a:prstGeom prst="rect">
                      <a:avLst/>
                    </a:prstGeom>
                    <a:noFill/>
                    <a:ln w="9525">
                      <a:noFill/>
                      <a:miter lim="800000"/>
                      <a:headEnd/>
                      <a:tailEnd/>
                    </a:ln>
                  </pic:spPr>
                </pic:pic>
              </a:graphicData>
            </a:graphic>
          </wp:anchor>
        </w:drawing>
      </w:r>
    </w:p>
    <w:p w:rsidR="00D732B6" w:rsidRDefault="00D732B6" w:rsidP="00D732B6">
      <w:pPr>
        <w:pStyle w:val="Footer"/>
        <w:rPr>
          <w:rFonts w:ascii="Trajan Pro" w:hAnsi="Trajan Pro"/>
          <w:b/>
          <w:color w:val="404040"/>
          <w:spacing w:val="10"/>
          <w:sz w:val="16"/>
          <w:szCs w:val="16"/>
        </w:rPr>
      </w:pPr>
      <w:r w:rsidRPr="00DC4C8D">
        <w:rPr>
          <w:rFonts w:ascii="Trajan Pro" w:hAnsi="Trajan Pro"/>
          <w:b/>
          <w:color w:val="404040"/>
          <w:spacing w:val="10"/>
          <w:sz w:val="16"/>
          <w:szCs w:val="16"/>
        </w:rPr>
        <w:t xml:space="preserve">Offices – Orlando </w:t>
      </w:r>
      <w:r w:rsidRPr="00DC4C8D">
        <w:rPr>
          <w:rFonts w:ascii="Trajan Pro" w:hAnsi="Trajan Pro"/>
          <w:b/>
          <w:color w:val="404040"/>
          <w:spacing w:val="10"/>
          <w:sz w:val="16"/>
          <w:szCs w:val="16"/>
        </w:rPr>
        <w:sym w:font="Wingdings" w:char="F09F"/>
      </w:r>
      <w:r w:rsidRPr="00DC4C8D">
        <w:rPr>
          <w:rFonts w:ascii="Trajan Pro" w:hAnsi="Trajan Pro"/>
          <w:b/>
          <w:color w:val="404040"/>
          <w:spacing w:val="10"/>
          <w:sz w:val="16"/>
          <w:szCs w:val="16"/>
        </w:rPr>
        <w:t xml:space="preserve"> Atlanta </w:t>
      </w:r>
      <w:r w:rsidRPr="00DC4C8D">
        <w:rPr>
          <w:rFonts w:ascii="Trajan Pro" w:hAnsi="Trajan Pro"/>
          <w:b/>
          <w:color w:val="404040"/>
          <w:spacing w:val="10"/>
          <w:sz w:val="16"/>
          <w:szCs w:val="16"/>
        </w:rPr>
        <w:sym w:font="Wingdings" w:char="F09F"/>
      </w:r>
      <w:r w:rsidRPr="00DC4C8D">
        <w:rPr>
          <w:rFonts w:ascii="Trajan Pro" w:hAnsi="Trajan Pro"/>
          <w:b/>
          <w:color w:val="404040"/>
          <w:spacing w:val="10"/>
          <w:sz w:val="16"/>
          <w:szCs w:val="16"/>
        </w:rPr>
        <w:t xml:space="preserve"> Fort Lauderdale</w:t>
      </w:r>
    </w:p>
    <w:p w:rsidR="00D732B6" w:rsidRPr="00AF5694" w:rsidRDefault="00D732B6" w:rsidP="00D732B6">
      <w:pPr>
        <w:pStyle w:val="Footer"/>
        <w:rPr>
          <w:rFonts w:ascii="Trajan Pro" w:hAnsi="Trajan Pro"/>
          <w:b/>
          <w:i/>
          <w:color w:val="404040"/>
          <w:spacing w:val="10"/>
          <w:sz w:val="16"/>
          <w:szCs w:val="16"/>
        </w:rPr>
      </w:pPr>
      <w:r w:rsidRPr="00AF5694">
        <w:rPr>
          <w:rFonts w:ascii="Trajan Pro" w:hAnsi="Trajan Pro"/>
          <w:b/>
          <w:i/>
          <w:color w:val="404040"/>
          <w:spacing w:val="10"/>
          <w:sz w:val="16"/>
          <w:szCs w:val="16"/>
        </w:rPr>
        <w:t xml:space="preserve">Opening Early 2014 – Costa Mesa </w:t>
      </w:r>
      <w:r w:rsidRPr="00AF5694">
        <w:rPr>
          <w:rFonts w:ascii="Trajan Pro" w:hAnsi="Trajan Pro"/>
          <w:b/>
          <w:i/>
          <w:color w:val="404040"/>
          <w:spacing w:val="10"/>
          <w:sz w:val="16"/>
          <w:szCs w:val="16"/>
        </w:rPr>
        <w:sym w:font="Wingdings" w:char="F09F"/>
      </w:r>
      <w:r w:rsidRPr="00AF5694">
        <w:rPr>
          <w:rFonts w:ascii="Trajan Pro" w:hAnsi="Trajan Pro"/>
          <w:b/>
          <w:i/>
          <w:color w:val="404040"/>
          <w:spacing w:val="10"/>
          <w:sz w:val="16"/>
          <w:szCs w:val="16"/>
        </w:rPr>
        <w:t xml:space="preserve"> Charlotte </w:t>
      </w:r>
    </w:p>
    <w:p w:rsidR="00D732B6" w:rsidRPr="00DC4C8D" w:rsidRDefault="00D732B6" w:rsidP="00D732B6">
      <w:pPr>
        <w:pStyle w:val="Footer"/>
        <w:rPr>
          <w:rFonts w:ascii="Trajan Pro" w:hAnsi="Trajan Pro"/>
          <w:b/>
          <w:color w:val="404040"/>
          <w:spacing w:val="30"/>
          <w:sz w:val="16"/>
          <w:szCs w:val="16"/>
        </w:rPr>
      </w:pPr>
      <w:r w:rsidRPr="00DC4C8D">
        <w:rPr>
          <w:rFonts w:ascii="Trajan Pro" w:hAnsi="Trajan Pro"/>
          <w:b/>
          <w:color w:val="404040"/>
          <w:spacing w:val="30"/>
          <w:sz w:val="16"/>
          <w:szCs w:val="16"/>
        </w:rPr>
        <w:t xml:space="preserve">800.960.0803 </w:t>
      </w:r>
      <w:r w:rsidRPr="00DC4C8D">
        <w:rPr>
          <w:rFonts w:ascii="Trajan Pro" w:hAnsi="Trajan Pro"/>
          <w:b/>
          <w:color w:val="404040"/>
          <w:spacing w:val="30"/>
          <w:sz w:val="16"/>
          <w:szCs w:val="16"/>
        </w:rPr>
        <w:sym w:font="Wingdings" w:char="F09F"/>
      </w:r>
      <w:r w:rsidRPr="00DC4C8D">
        <w:rPr>
          <w:rFonts w:ascii="Trajan Pro" w:hAnsi="Trajan Pro"/>
          <w:b/>
          <w:color w:val="404040"/>
          <w:spacing w:val="30"/>
          <w:sz w:val="16"/>
          <w:szCs w:val="16"/>
        </w:rPr>
        <w:t xml:space="preserve"> www.nonprofitcpa.com</w:t>
      </w:r>
    </w:p>
    <w:p w:rsidR="00207326" w:rsidRPr="003E6B08" w:rsidRDefault="00D732B6" w:rsidP="00AF5694">
      <w:pPr>
        <w:pStyle w:val="BodyText"/>
        <w:widowControl w:val="0"/>
        <w:tabs>
          <w:tab w:val="left" w:pos="720"/>
        </w:tabs>
        <w:spacing w:after="0" w:line="235" w:lineRule="auto"/>
        <w:jc w:val="both"/>
        <w:rPr>
          <w:rFonts w:ascii="Cambria" w:hAnsi="Cambria"/>
        </w:rPr>
      </w:pPr>
      <w:r w:rsidRPr="00420211">
        <w:rPr>
          <w:rFonts w:ascii="Trajan Pro" w:hAnsi="Trajan Pro"/>
          <w:b/>
          <w:color w:val="404040"/>
          <w:spacing w:val="-4"/>
          <w:sz w:val="16"/>
          <w:szCs w:val="16"/>
        </w:rPr>
        <w:t>Keeping Watch for Nonprofits across the United States</w:t>
      </w:r>
    </w:p>
    <w:sectPr w:rsidR="00207326" w:rsidRPr="003E6B08" w:rsidSect="009179C1">
      <w:footnotePr>
        <w:pos w:val="beneathText"/>
      </w:footnotePr>
      <w:type w:val="continuous"/>
      <w:pgSz w:w="12240" w:h="15840"/>
      <w:pgMar w:top="720" w:right="72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9C1" w:rsidRDefault="009179C1" w:rsidP="009179C1">
      <w:pPr>
        <w:spacing w:after="0" w:line="240" w:lineRule="auto"/>
      </w:pPr>
      <w:r>
        <w:separator/>
      </w:r>
    </w:p>
  </w:endnote>
  <w:endnote w:type="continuationSeparator" w:id="0">
    <w:p w:rsidR="009179C1" w:rsidRDefault="009179C1" w:rsidP="009179C1">
      <w:pPr>
        <w:spacing w:after="0" w:line="240" w:lineRule="auto"/>
      </w:pPr>
      <w:r>
        <w:continuationSeparator/>
      </w:r>
    </w:p>
  </w:endnote>
  <w:endnote w:id="1">
    <w:p w:rsidR="009179C1" w:rsidRPr="00F41C00" w:rsidRDefault="009179C1" w:rsidP="00D2732F">
      <w:pPr>
        <w:pStyle w:val="EndnoteText"/>
        <w:spacing w:after="160"/>
        <w:rPr>
          <w:rFonts w:ascii="Cambria" w:hAnsi="Cambria"/>
        </w:rPr>
      </w:pPr>
      <w:r w:rsidRPr="00F41C00">
        <w:rPr>
          <w:rStyle w:val="EndnoteReference"/>
          <w:rFonts w:ascii="Cambria" w:hAnsi="Cambria"/>
        </w:rPr>
        <w:endnoteRef/>
      </w:r>
      <w:r w:rsidRPr="00F41C00">
        <w:rPr>
          <w:rFonts w:ascii="Cambria" w:hAnsi="Cambria"/>
        </w:rPr>
        <w:t xml:space="preserve">  The threshold may </w:t>
      </w:r>
      <w:r w:rsidR="002471EE">
        <w:rPr>
          <w:rFonts w:ascii="Cambria" w:hAnsi="Cambria"/>
        </w:rPr>
        <w:t>be set at lower amounts if the o</w:t>
      </w:r>
      <w:r w:rsidRPr="00F41C00">
        <w:rPr>
          <w:rFonts w:ascii="Cambria" w:hAnsi="Cambria"/>
        </w:rPr>
        <w:t>rganization prefers – however, a lower threshold will result in lower amounts being deductible for purposes of federal income tax.</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yriad Web Pro">
    <w:panose1 w:val="020B0503030403020204"/>
    <w:charset w:val="00"/>
    <w:family w:val="swiss"/>
    <w:pitch w:val="variable"/>
    <w:sig w:usb0="8000002F" w:usb1="5000204A" w:usb2="00000000" w:usb3="00000000" w:csb0="00000093" w:csb1="00000000"/>
  </w:font>
  <w:font w:name="Trajan Pro">
    <w:panose1 w:val="00000000000000000000"/>
    <w:charset w:val="00"/>
    <w:family w:val="roman"/>
    <w:notTrueType/>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9C1" w:rsidRDefault="009179C1" w:rsidP="009179C1">
      <w:pPr>
        <w:spacing w:after="0" w:line="240" w:lineRule="auto"/>
      </w:pPr>
      <w:r>
        <w:separator/>
      </w:r>
    </w:p>
  </w:footnote>
  <w:footnote w:type="continuationSeparator" w:id="0">
    <w:p w:rsidR="009179C1" w:rsidRDefault="009179C1" w:rsidP="009179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A7FB0"/>
    <w:multiLevelType w:val="hybridMultilevel"/>
    <w:tmpl w:val="2A6E1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E29A9"/>
    <w:multiLevelType w:val="hybridMultilevel"/>
    <w:tmpl w:val="AC748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pos w:val="sectEnd"/>
    <w:endnote w:id="-1"/>
    <w:endnote w:id="0"/>
  </w:endnotePr>
  <w:compat/>
  <w:rsids>
    <w:rsidRoot w:val="00207326"/>
    <w:rsid w:val="00207326"/>
    <w:rsid w:val="002471EE"/>
    <w:rsid w:val="00270C0B"/>
    <w:rsid w:val="00443694"/>
    <w:rsid w:val="007A4B29"/>
    <w:rsid w:val="00876C4B"/>
    <w:rsid w:val="008D4618"/>
    <w:rsid w:val="008E137B"/>
    <w:rsid w:val="009179C1"/>
    <w:rsid w:val="00AF5694"/>
    <w:rsid w:val="00B30394"/>
    <w:rsid w:val="00D2732F"/>
    <w:rsid w:val="00D732B6"/>
    <w:rsid w:val="00E94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18"/>
  </w:style>
  <w:style w:type="paragraph" w:styleId="Heading1">
    <w:name w:val="heading 1"/>
    <w:basedOn w:val="Normal"/>
    <w:next w:val="Normal"/>
    <w:link w:val="Heading1Char"/>
    <w:qFormat/>
    <w:rsid w:val="009179C1"/>
    <w:pPr>
      <w:keepNext/>
      <w:spacing w:after="0" w:line="240" w:lineRule="auto"/>
      <w:outlineLvl w:val="0"/>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07326"/>
    <w:rPr>
      <w:b/>
      <w:bCs/>
    </w:rPr>
  </w:style>
  <w:style w:type="paragraph" w:styleId="Footer">
    <w:name w:val="footer"/>
    <w:basedOn w:val="Normal"/>
    <w:link w:val="FooterChar"/>
    <w:uiPriority w:val="99"/>
    <w:unhideWhenUsed/>
    <w:rsid w:val="00207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326"/>
  </w:style>
  <w:style w:type="paragraph" w:styleId="BodyText">
    <w:name w:val="Body Text"/>
    <w:basedOn w:val="Normal"/>
    <w:link w:val="BodyTextChar"/>
    <w:rsid w:val="00207326"/>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07326"/>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9179C1"/>
    <w:rPr>
      <w:rFonts w:ascii="Times New Roman" w:eastAsia="Times New Roman" w:hAnsi="Times New Roman" w:cs="Times New Roman"/>
      <w:sz w:val="20"/>
      <w:szCs w:val="20"/>
      <w:u w:val="single"/>
    </w:rPr>
  </w:style>
  <w:style w:type="paragraph" w:styleId="EndnoteText">
    <w:name w:val="endnote text"/>
    <w:basedOn w:val="Normal"/>
    <w:link w:val="EndnoteTextChar"/>
    <w:uiPriority w:val="99"/>
    <w:semiHidden/>
    <w:unhideWhenUsed/>
    <w:rsid w:val="009179C1"/>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179C1"/>
    <w:rPr>
      <w:rFonts w:ascii="Calibri" w:eastAsia="Calibri" w:hAnsi="Calibri" w:cs="Times New Roman"/>
      <w:sz w:val="20"/>
      <w:szCs w:val="20"/>
    </w:rPr>
  </w:style>
  <w:style w:type="character" w:styleId="EndnoteReference">
    <w:name w:val="endnote reference"/>
    <w:uiPriority w:val="99"/>
    <w:semiHidden/>
    <w:unhideWhenUsed/>
    <w:rsid w:val="009179C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4F21-B439-4D62-A4B9-414D9B37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405</Words>
  <Characters>2313</Characters>
  <Application>Microsoft Office Word</Application>
  <DocSecurity>0</DocSecurity>
  <Lines>19</Lines>
  <Paragraphs>5</Paragraphs>
  <ScaleCrop>false</ScaleCrop>
  <Company>Microsoft</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Bethanie Bailey</dc:creator>
  <cp:lastModifiedBy>amartinez</cp:lastModifiedBy>
  <cp:revision>8</cp:revision>
  <dcterms:created xsi:type="dcterms:W3CDTF">2013-12-18T16:43:00Z</dcterms:created>
  <dcterms:modified xsi:type="dcterms:W3CDTF">2013-12-18T17:34:00Z</dcterms:modified>
</cp:coreProperties>
</file>